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8A" w:rsidRDefault="00981F8A" w:rsidP="00981F8A">
      <w:pPr>
        <w:pStyle w:val="Title"/>
        <w:ind w:leftChars="0" w:left="0" w:firstLineChars="0" w:firstLine="0"/>
        <w:jc w:val="left"/>
      </w:pPr>
    </w:p>
    <w:p w:rsidR="0017491D" w:rsidRDefault="009E4C63">
      <w:pPr>
        <w:pStyle w:val="Title"/>
        <w:ind w:left="0" w:hanging="2"/>
      </w:pPr>
      <w:r>
        <w:t>SUS DERECHOS CON MEDI-CAL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-457199</wp:posOffset>
                </wp:positionV>
                <wp:extent cx="3095625" cy="35179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651413"/>
                          <a:ext cx="30861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491D" w:rsidRDefault="009E4C63">
                            <w:pPr>
                              <w:spacing w:line="240" w:lineRule="auto"/>
                              <w:ind w:left="12" w:hanging="14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  <w:sz w:val="144"/>
                              </w:rPr>
                              <w:t xml:space="preserve"> ”NOABD Your Rights”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  <w:sz w:val="144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37pt;margin-top:-36pt;width:243.7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cutwEAAFQDAAAOAAAAZHJzL2Uyb0RvYy54bWysU8tu2zAQvBfoPxC813okchzBclA0SFEg&#10;aA2k/QCaIi0C4qO7tCX/fZeSmhjtreiF2hXH45nZ1fZhtD07K0DjXcOLVc6ZctK3xh0b/uP704cN&#10;ZxiFa0XvnWr4RSF/2L1/tx1CrUrf+b5VwIjEYT2EhncxhjrLUHbKClz5oBxdag9WRGrhmLUgBmK3&#10;fVbm+TobPLQBvFSI9PZxvuS7iV9rJeM3rVFF1jectMXphOk8pDPbbUV9BBE6IxcZ4h9UWGEc/ekr&#10;1aOIgp3A/EVljQSPXseV9DbzWhupJg/kpsj/cPPSiaAmLxQOhteY8P/Ryq/nPTDT0uw4c8LSiFIm&#10;Q8Carl7CHpYOqUwGRw02PUk6Gxt+s8nL+4qSvVC9rorb4mbOVI2RyQTIN+siJ4AkRFndFXdVAmRv&#10;TAEwflbeslQ0HGhmU5Ti/Ixxhv6G0O+SsllLquJ4GBeBB99eyAoG+WSI6Flg3AugYZKxgQbccPx5&#10;EqA46784SvC+uC0r2ojrBq6bw3UjnOw87Y2MwNncfIrTHqUwnP94il6bSW7SNYtZ5NLoJsPLmqXd&#10;uO4n1NvHsPsFAAD//wMAUEsDBBQABgAIAAAAIQCLJ6NO3wAAAAsBAAAPAAAAZHJzL2Rvd25yZXYu&#10;eG1sTI/BTsMwEETvSPyDtUjcWidRSGmIUwGCA5xKygds4iWOiO0Qu234e5YT3HZ3RrNvqt1iR3Gi&#10;OQzeKUjXCQhyndeD6xW8H55XtyBCRKdx9I4UfFOAXX15UWGp/dm90amJveAQF0pUYGKcSilDZ8hi&#10;WPuJHGsffrYYeZ17qWc8c7gdZZYkhbQ4OP5gcKJHQ91nc7QK9rmn7CkLD01vt2ZpD68vX1godX21&#10;3N+BiLTEPzP84jM61MzU+qPTQYwK8k3OXaKC1SbjgR3bIr0B0fIlLQqQdSX/d6h/AAAA//8DAFBL&#10;AQItABQABgAIAAAAIQC2gziS/gAAAOEBAAATAAAAAAAAAAAAAAAAAAAAAABbQ29udGVudF9UeXBl&#10;c10ueG1sUEsBAi0AFAAGAAgAAAAhADj9If/WAAAAlAEAAAsAAAAAAAAAAAAAAAAALwEAAF9yZWxz&#10;Ly5yZWxzUEsBAi0AFAAGAAgAAAAhAKq0Ny63AQAAVAMAAA4AAAAAAAAAAAAAAAAALgIAAGRycy9l&#10;Mm9Eb2MueG1sUEsBAi0AFAAGAAgAAAAhAIsno07fAAAACwEAAA8AAAAAAAAAAAAAAAAAEQQAAGRy&#10;cy9kb3ducmV2LnhtbFBLBQYAAAAABAAEAPMAAAAdBQAAAAA=&#10;" filled="f" stroked="f">
                <v:textbox inset="2.53958mm,2.53958mm,2.53958mm,2.53958mm">
                  <w:txbxContent>
                    <w:p w:rsidR="0017491D" w:rsidRDefault="009E4C63">
                      <w:pPr>
                        <w:spacing w:line="240" w:lineRule="auto"/>
                        <w:ind w:left="12" w:hanging="14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FFFFFF"/>
                          <w:sz w:val="144"/>
                        </w:rPr>
                        <w:t xml:space="preserve"> ”NOABD Your Rights”</w:t>
                      </w:r>
                      <w:r>
                        <w:rPr>
                          <w:rFonts w:ascii="Arial Black" w:eastAsia="Arial Black" w:hAnsi="Arial Black" w:cs="Arial Black"/>
                          <w:color w:val="FFFFFF"/>
                          <w:sz w:val="14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17491D" w:rsidRDefault="0017491D">
      <w:pPr>
        <w:pBdr>
          <w:top w:val="single" w:sz="18" w:space="1" w:color="000000"/>
        </w:pBd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2" w:hanging="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Si </w:t>
      </w:r>
      <w:proofErr w:type="spellStart"/>
      <w:r>
        <w:rPr>
          <w:rFonts w:ascii="Arial" w:eastAsia="Arial" w:hAnsi="Arial" w:cs="Arial"/>
          <w:sz w:val="36"/>
          <w:szCs w:val="36"/>
        </w:rPr>
        <w:t>necesita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este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aviso y/u </w:t>
      </w:r>
      <w:proofErr w:type="spellStart"/>
      <w:r>
        <w:rPr>
          <w:rFonts w:ascii="Arial" w:eastAsia="Arial" w:hAnsi="Arial" w:cs="Arial"/>
          <w:sz w:val="36"/>
          <w:szCs w:val="36"/>
        </w:rPr>
        <w:t>otros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documentos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del Plan </w:t>
      </w:r>
      <w:proofErr w:type="spellStart"/>
      <w:r>
        <w:rPr>
          <w:rFonts w:ascii="Arial" w:eastAsia="Arial" w:hAnsi="Arial" w:cs="Arial"/>
          <w:sz w:val="36"/>
          <w:szCs w:val="36"/>
        </w:rPr>
        <w:t>en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un </w:t>
      </w:r>
      <w:proofErr w:type="spellStart"/>
      <w:r>
        <w:rPr>
          <w:rFonts w:ascii="Arial" w:eastAsia="Arial" w:hAnsi="Arial" w:cs="Arial"/>
          <w:sz w:val="36"/>
          <w:szCs w:val="36"/>
        </w:rPr>
        <w:t>formato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</w:rPr>
        <w:t>comunicación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alternativo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, </w:t>
      </w:r>
      <w:proofErr w:type="spellStart"/>
      <w:r>
        <w:rPr>
          <w:rFonts w:ascii="Arial" w:eastAsia="Arial" w:hAnsi="Arial" w:cs="Arial"/>
          <w:sz w:val="36"/>
          <w:szCs w:val="36"/>
        </w:rPr>
        <w:t>como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letra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grande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, Braille o un </w:t>
      </w:r>
      <w:proofErr w:type="spellStart"/>
      <w:r>
        <w:rPr>
          <w:rFonts w:ascii="Arial" w:eastAsia="Arial" w:hAnsi="Arial" w:cs="Arial"/>
          <w:sz w:val="36"/>
          <w:szCs w:val="36"/>
        </w:rPr>
        <w:t>formato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electrónico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, o </w:t>
      </w:r>
      <w:proofErr w:type="spellStart"/>
      <w:r>
        <w:rPr>
          <w:rFonts w:ascii="Arial" w:eastAsia="Arial" w:hAnsi="Arial" w:cs="Arial"/>
          <w:sz w:val="36"/>
          <w:szCs w:val="36"/>
        </w:rPr>
        <w:t>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desea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ayuda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para leer el material, </w:t>
      </w:r>
      <w:proofErr w:type="spellStart"/>
      <w:r>
        <w:rPr>
          <w:rFonts w:ascii="Arial" w:eastAsia="Arial" w:hAnsi="Arial" w:cs="Arial"/>
          <w:sz w:val="36"/>
          <w:szCs w:val="36"/>
        </w:rPr>
        <w:t>comuníquese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con el </w:t>
      </w:r>
      <w:proofErr w:type="spellStart"/>
      <w:r>
        <w:rPr>
          <w:rFonts w:ascii="Arial" w:eastAsia="Arial" w:hAnsi="Arial" w:cs="Arial"/>
          <w:sz w:val="36"/>
          <w:szCs w:val="36"/>
        </w:rPr>
        <w:t>Defensor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</w:rPr>
        <w:t>los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Derechos de </w:t>
      </w:r>
      <w:proofErr w:type="spellStart"/>
      <w:r>
        <w:rPr>
          <w:rFonts w:ascii="Arial" w:eastAsia="Arial" w:hAnsi="Arial" w:cs="Arial"/>
          <w:sz w:val="36"/>
          <w:szCs w:val="36"/>
        </w:rPr>
        <w:t>los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Pacientes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llamando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al 559-852-2423.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 NO ESTÁ DE ACUERDO CON LA DECISIÓN TOMADA PARA SU TRATAMIENTO DE SALUD MENTAL O DE TRASTORNOS POR CONSUMO DE SUSTANCIAS, PUEDE PRESENTAR UNA APELACIÓN. ESTA APELACIÓN SE PRESENTA CON SU PLAN.  </w:t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CÓMO PRESENTAR UN RECURSO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de "</w:t>
      </w:r>
      <w:proofErr w:type="spellStart"/>
      <w:r>
        <w:rPr>
          <w:rFonts w:ascii="Arial" w:eastAsia="Arial" w:hAnsi="Arial" w:cs="Arial"/>
          <w:sz w:val="24"/>
          <w:szCs w:val="24"/>
        </w:rPr>
        <w:t>Notificación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determinación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adversa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beneficios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 para </w:t>
      </w:r>
      <w:proofErr w:type="spellStart"/>
      <w:r>
        <w:rPr>
          <w:rFonts w:ascii="Arial" w:eastAsia="Arial" w:hAnsi="Arial" w:cs="Arial"/>
          <w:sz w:val="24"/>
          <w:szCs w:val="24"/>
        </w:rPr>
        <w:t>presentar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</w:t>
      </w:r>
      <w:proofErr w:type="spellStart"/>
      <w:r>
        <w:rPr>
          <w:rFonts w:ascii="Arial" w:eastAsia="Arial" w:hAnsi="Arial" w:cs="Arial"/>
          <w:sz w:val="24"/>
          <w:szCs w:val="24"/>
        </w:rPr>
        <w:t>actualmente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recibiendo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tratamiento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quiere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seguir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recibiéndolo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o antes de la </w:t>
      </w: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que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Plan dice que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cesarán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quiere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seguir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recibiendo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tratamiento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escrito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</w:t>
      </w:r>
      <w:proofErr w:type="spellStart"/>
      <w:r>
        <w:rPr>
          <w:rFonts w:ascii="Arial" w:eastAsia="Arial" w:hAnsi="Arial" w:cs="Arial"/>
          <w:sz w:val="24"/>
          <w:szCs w:val="24"/>
        </w:rPr>
        <w:t>presenta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seguir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escrita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firmada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El Plan le </w:t>
      </w:r>
      <w:proofErr w:type="spellStart"/>
      <w:r>
        <w:rPr>
          <w:rFonts w:ascii="Arial" w:eastAsia="Arial" w:hAnsi="Arial" w:cs="Arial"/>
          <w:sz w:val="24"/>
          <w:szCs w:val="24"/>
        </w:rPr>
        <w:t>proporcionará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asistencia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gratuita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Para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apelar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</w:t>
      </w:r>
      <w:r>
        <w:rPr>
          <w:rFonts w:ascii="Arial" w:eastAsia="Arial" w:hAnsi="Arial" w:cs="Arial"/>
          <w:sz w:val="24"/>
          <w:szCs w:val="24"/>
        </w:rPr>
        <w:t>óngase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el </w:t>
      </w:r>
      <w:proofErr w:type="spellStart"/>
      <w:r>
        <w:rPr>
          <w:rFonts w:ascii="Arial" w:eastAsia="Arial" w:hAnsi="Arial" w:cs="Arial"/>
          <w:sz w:val="24"/>
          <w:szCs w:val="24"/>
        </w:rPr>
        <w:t>Clínico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Garantía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Calidad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entre las 8AM- 5PM </w:t>
      </w:r>
      <w:proofErr w:type="spellStart"/>
      <w:r>
        <w:rPr>
          <w:rFonts w:ascii="Arial" w:eastAsia="Arial" w:hAnsi="Arial" w:cs="Arial"/>
          <w:sz w:val="24"/>
          <w:szCs w:val="24"/>
        </w:rPr>
        <w:t>llamando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559-852-2297. O,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problemas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oír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favor </w:t>
      </w:r>
      <w:proofErr w:type="spellStart"/>
      <w:r>
        <w:rPr>
          <w:rFonts w:ascii="Arial" w:eastAsia="Arial" w:hAnsi="Arial" w:cs="Arial"/>
          <w:sz w:val="24"/>
          <w:szCs w:val="24"/>
        </w:rPr>
        <w:t>llame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7-1-1.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Para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apelar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escrito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formulario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escriba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plan y </w:t>
      </w:r>
      <w:proofErr w:type="spellStart"/>
      <w:r>
        <w:rPr>
          <w:rFonts w:ascii="Arial" w:eastAsia="Arial" w:hAnsi="Arial" w:cs="Arial"/>
          <w:sz w:val="24"/>
          <w:szCs w:val="24"/>
        </w:rPr>
        <w:t>envíela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</w:p>
    <w:p w:rsidR="0017491D" w:rsidRDefault="001749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conductual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condado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Kings: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Clínico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Garantía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Calidad</w:t>
      </w:r>
      <w:proofErr w:type="spellEnd"/>
    </w:p>
    <w:p w:rsidR="0017491D" w:rsidRDefault="009E4C63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460 Kings County Dr. Suite 101 Hanford, California 93230</w:t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correo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electrónico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KCNOABD@co.kings.ca.us </w:t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Fax: (559) 852-4219 </w:t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 </w:t>
      </w:r>
      <w:proofErr w:type="spellStart"/>
      <w:r>
        <w:rPr>
          <w:rFonts w:ascii="Arial" w:eastAsia="Arial" w:hAnsi="Arial" w:cs="Arial"/>
          <w:sz w:val="24"/>
          <w:szCs w:val="24"/>
        </w:rPr>
        <w:t>proveedor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formularios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disponibles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El </w:t>
      </w:r>
      <w:proofErr w:type="spellStart"/>
      <w:r>
        <w:rPr>
          <w:rFonts w:ascii="Arial" w:eastAsia="Arial" w:hAnsi="Arial" w:cs="Arial"/>
          <w:sz w:val="24"/>
          <w:szCs w:val="24"/>
        </w:rPr>
        <w:t>Defensor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Derechos </w:t>
      </w:r>
      <w:proofErr w:type="gramStart"/>
      <w:r>
        <w:rPr>
          <w:rFonts w:ascii="Arial" w:eastAsia="Arial" w:hAnsi="Arial" w:cs="Arial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Paciente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enviarle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formulario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.   </w:t>
      </w:r>
    </w:p>
    <w:p w:rsidR="0017491D" w:rsidRDefault="001749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O </w:t>
      </w:r>
      <w:proofErr w:type="spellStart"/>
      <w:r>
        <w:rPr>
          <w:rFonts w:ascii="Arial" w:eastAsia="Arial" w:hAnsi="Arial" w:cs="Arial"/>
          <w:sz w:val="24"/>
          <w:szCs w:val="24"/>
        </w:rPr>
        <w:t>bien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alguien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un familiar, amigo, </w:t>
      </w:r>
      <w:proofErr w:type="spellStart"/>
      <w:r>
        <w:rPr>
          <w:rFonts w:ascii="Arial" w:eastAsia="Arial" w:hAnsi="Arial" w:cs="Arial"/>
          <w:sz w:val="24"/>
          <w:szCs w:val="24"/>
        </w:rPr>
        <w:t>defensor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proveedor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abogado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presente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 se llama "</w:t>
      </w:r>
      <w:proofErr w:type="spellStart"/>
      <w:r>
        <w:rPr>
          <w:rFonts w:ascii="Arial" w:eastAsia="Arial" w:hAnsi="Arial" w:cs="Arial"/>
          <w:sz w:val="24"/>
          <w:szCs w:val="24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autorizado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".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enviar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desee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el Plan revise. Su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revisada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proveedor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diferente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que </w:t>
      </w:r>
      <w:proofErr w:type="spellStart"/>
      <w:r>
        <w:rPr>
          <w:rFonts w:ascii="Arial" w:eastAsia="Arial" w:hAnsi="Arial" w:cs="Arial"/>
          <w:sz w:val="24"/>
          <w:szCs w:val="24"/>
        </w:rPr>
        <w:t>tomó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primera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 Plan </w:t>
      </w: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darle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recibirá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de "Aviso de </w:t>
      </w:r>
      <w:proofErr w:type="spellStart"/>
      <w:r>
        <w:rPr>
          <w:rFonts w:ascii="Arial" w:eastAsia="Arial" w:hAnsi="Arial" w:cs="Arial"/>
          <w:sz w:val="24"/>
          <w:szCs w:val="24"/>
        </w:rPr>
        <w:t>resolución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".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le </w:t>
      </w:r>
      <w:proofErr w:type="spellStart"/>
      <w:r>
        <w:rPr>
          <w:rFonts w:ascii="Arial" w:eastAsia="Arial" w:hAnsi="Arial" w:cs="Arial"/>
          <w:sz w:val="24"/>
          <w:szCs w:val="24"/>
        </w:rPr>
        <w:t>informará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decisión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Plan. Si no </w:t>
      </w:r>
      <w:proofErr w:type="spellStart"/>
      <w:r>
        <w:rPr>
          <w:rFonts w:ascii="Arial" w:eastAsia="Arial" w:hAnsi="Arial" w:cs="Arial"/>
          <w:sz w:val="24"/>
          <w:szCs w:val="24"/>
        </w:rPr>
        <w:t>recibe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con la </w:t>
      </w:r>
      <w:proofErr w:type="spellStart"/>
      <w:r>
        <w:rPr>
          <w:rFonts w:ascii="Arial" w:eastAsia="Arial" w:hAnsi="Arial" w:cs="Arial"/>
          <w:sz w:val="24"/>
          <w:szCs w:val="24"/>
        </w:rPr>
        <w:t>decisión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Plan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plazo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30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 y un </w:t>
      </w:r>
      <w:proofErr w:type="spellStart"/>
      <w:r>
        <w:rPr>
          <w:rFonts w:ascii="Arial" w:eastAsia="Arial" w:hAnsi="Arial" w:cs="Arial"/>
          <w:sz w:val="24"/>
          <w:szCs w:val="24"/>
        </w:rPr>
        <w:t>juez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revisará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favor, lea la </w:t>
      </w:r>
      <w:proofErr w:type="spellStart"/>
      <w:r>
        <w:rPr>
          <w:rFonts w:ascii="Arial" w:eastAsia="Arial" w:hAnsi="Arial" w:cs="Arial"/>
          <w:sz w:val="24"/>
          <w:szCs w:val="24"/>
        </w:rPr>
        <w:t>siguiente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obtener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instrucciones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  <w:u w:val="single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RECURSOS ACELERADOS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cree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esperar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perjudicará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obtenga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72 horas. </w:t>
      </w:r>
      <w:proofErr w:type="spellStart"/>
      <w:r>
        <w:rPr>
          <w:rFonts w:ascii="Arial" w:eastAsia="Arial" w:hAnsi="Arial" w:cs="Arial"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diga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razón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cual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espera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perjudicará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Asegúrese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pedir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acelerada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".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  <w:u w:val="single"/>
        </w:rPr>
      </w:pPr>
    </w:p>
    <w:p w:rsidR="0017491D" w:rsidRDefault="0017491D">
      <w:pPr>
        <w:pBdr>
          <w:top w:val="single" w:sz="18" w:space="1" w:color="000000"/>
        </w:pBdr>
        <w:ind w:left="0" w:hanging="2"/>
        <w:rPr>
          <w:rFonts w:ascii="Arial" w:eastAsia="Arial" w:hAnsi="Arial" w:cs="Arial"/>
          <w:sz w:val="24"/>
          <w:szCs w:val="24"/>
          <w:u w:val="single"/>
        </w:rPr>
      </w:pPr>
    </w:p>
    <w:p w:rsidR="0017491D" w:rsidRDefault="009E4C63">
      <w:pPr>
        <w:pBdr>
          <w:top w:val="single" w:sz="18" w:space="1" w:color="000000"/>
        </w:pBdr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AUDIENCIA ESTATAL</w:t>
      </w:r>
    </w:p>
    <w:p w:rsidR="0017491D" w:rsidRDefault="0017491D">
      <w:pPr>
        <w:pBdr>
          <w:top w:val="single" w:sz="18" w:space="1" w:color="000000"/>
        </w:pBd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eastAsia="Arial" w:hAnsi="Arial" w:cs="Arial"/>
          <w:sz w:val="24"/>
          <w:szCs w:val="24"/>
        </w:rPr>
        <w:t>presentó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recibió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de "</w:t>
      </w:r>
      <w:proofErr w:type="spellStart"/>
      <w:r>
        <w:rPr>
          <w:rFonts w:ascii="Arial" w:eastAsia="Arial" w:hAnsi="Arial" w:cs="Arial"/>
          <w:sz w:val="24"/>
          <w:szCs w:val="24"/>
        </w:rPr>
        <w:t>Notificación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resolución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que se le </w:t>
      </w:r>
      <w:proofErr w:type="spellStart"/>
      <w:r>
        <w:rPr>
          <w:rFonts w:ascii="Arial" w:eastAsia="Arial" w:hAnsi="Arial" w:cs="Arial"/>
          <w:sz w:val="24"/>
          <w:szCs w:val="24"/>
        </w:rPr>
        <w:t>informa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que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Plan </w:t>
      </w:r>
      <w:proofErr w:type="spellStart"/>
      <w:r>
        <w:rPr>
          <w:rFonts w:ascii="Arial" w:eastAsia="Arial" w:hAnsi="Arial" w:cs="Arial"/>
          <w:sz w:val="24"/>
          <w:szCs w:val="24"/>
        </w:rPr>
        <w:t>sigue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eastAsia="Arial" w:hAnsi="Arial" w:cs="Arial"/>
          <w:sz w:val="24"/>
          <w:szCs w:val="24"/>
        </w:rPr>
        <w:t>prestar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eastAsia="Arial" w:hAnsi="Arial" w:cs="Arial"/>
          <w:sz w:val="24"/>
          <w:szCs w:val="24"/>
        </w:rPr>
        <w:t>nunca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recibió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que se le </w:t>
      </w:r>
      <w:proofErr w:type="spellStart"/>
      <w:r>
        <w:rPr>
          <w:rFonts w:ascii="Arial" w:eastAsia="Arial" w:hAnsi="Arial" w:cs="Arial"/>
          <w:sz w:val="24"/>
          <w:szCs w:val="24"/>
        </w:rPr>
        <w:t>informará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decisión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pasado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 y un </w:t>
      </w:r>
      <w:proofErr w:type="spellStart"/>
      <w:r>
        <w:rPr>
          <w:rFonts w:ascii="Arial" w:eastAsia="Arial" w:hAnsi="Arial" w:cs="Arial"/>
          <w:sz w:val="24"/>
          <w:szCs w:val="24"/>
        </w:rPr>
        <w:t>juez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revisará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pagar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plazo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120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carta de "</w:t>
      </w:r>
      <w:proofErr w:type="spellStart"/>
      <w:r>
        <w:rPr>
          <w:rFonts w:ascii="Arial" w:eastAsia="Arial" w:hAnsi="Arial" w:cs="Arial"/>
          <w:sz w:val="24"/>
          <w:szCs w:val="24"/>
        </w:rPr>
        <w:t>Notificación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resolución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".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electrónica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escrito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Llame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1-800-952-5253. Si no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sz w:val="24"/>
          <w:szCs w:val="24"/>
        </w:rPr>
        <w:t>oír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llame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TTY/TDD 1-800-952-8349.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vía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electrónica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línea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Visite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web del </w:t>
      </w:r>
      <w:proofErr w:type="spellStart"/>
      <w:r>
        <w:rPr>
          <w:rFonts w:ascii="Arial" w:eastAsia="Arial" w:hAnsi="Arial" w:cs="Arial"/>
          <w:sz w:val="24"/>
          <w:szCs w:val="24"/>
        </w:rPr>
        <w:t>Departamento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Sociales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California para </w:t>
      </w:r>
      <w:proofErr w:type="spellStart"/>
      <w:r>
        <w:rPr>
          <w:rFonts w:ascii="Arial" w:eastAsia="Arial" w:hAnsi="Arial" w:cs="Arial"/>
          <w:sz w:val="24"/>
          <w:szCs w:val="24"/>
        </w:rPr>
        <w:t>completar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formulario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electrónico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/>
        </w:rPr>
        <w:t>https://secure.dss.cahwnet.gov/shd/pubintake/cdss-request.aspx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escrito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Rellene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formulario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envíe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a:  : 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California Department of Social Services</w:t>
      </w: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State Hearings Division</w:t>
      </w:r>
    </w:p>
    <w:p w:rsidR="0017491D" w:rsidRDefault="009E4C6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P.O. Box 944243,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Mail Station 9-17-37</w:t>
      </w:r>
      <w:r>
        <w:rPr>
          <w:rFonts w:ascii="Arial" w:eastAsia="Arial" w:hAnsi="Arial" w:cs="Arial"/>
          <w:b/>
        </w:rPr>
        <w:tab/>
      </w:r>
    </w:p>
    <w:p w:rsidR="0017491D" w:rsidRDefault="009E4C63">
      <w:pPr>
        <w:pStyle w:val="Heading4"/>
        <w:ind w:left="0" w:hanging="2"/>
      </w:pPr>
      <w:r>
        <w:t>Sacramento, CA  94244-2430</w:t>
      </w:r>
    </w:p>
    <w:p w:rsidR="0017491D" w:rsidRDefault="001749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17491D" w:rsidRDefault="009E4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Asegúrese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incluir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dirección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nacimiento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</w:rPr>
        <w:t>razón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que </w:t>
      </w:r>
      <w:proofErr w:type="spellStart"/>
      <w:r>
        <w:rPr>
          <w:rFonts w:ascii="Arial" w:eastAsia="Arial" w:hAnsi="Arial" w:cs="Arial"/>
          <w:sz w:val="24"/>
          <w:szCs w:val="24"/>
        </w:rPr>
        <w:t>desea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</w:t>
      </w:r>
      <w:proofErr w:type="spellStart"/>
      <w:r>
        <w:rPr>
          <w:rFonts w:ascii="Arial" w:eastAsia="Arial" w:hAnsi="Arial" w:cs="Arial"/>
          <w:sz w:val="24"/>
          <w:szCs w:val="24"/>
        </w:rPr>
        <w:t>alguien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Estado, </w:t>
      </w:r>
      <w:proofErr w:type="spellStart"/>
      <w:r>
        <w:rPr>
          <w:rFonts w:ascii="Arial" w:eastAsia="Arial" w:hAnsi="Arial" w:cs="Arial"/>
          <w:sz w:val="24"/>
          <w:szCs w:val="24"/>
        </w:rPr>
        <w:t>añada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dirección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formulario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carta. Si </w:t>
      </w:r>
      <w:proofErr w:type="spellStart"/>
      <w:r>
        <w:rPr>
          <w:rFonts w:ascii="Arial" w:eastAsia="Arial" w:hAnsi="Arial" w:cs="Arial"/>
          <w:sz w:val="24"/>
          <w:szCs w:val="24"/>
        </w:rPr>
        <w:t>necesita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intérprete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díganos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idioma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No </w:t>
      </w:r>
      <w:proofErr w:type="spellStart"/>
      <w:r>
        <w:rPr>
          <w:rFonts w:ascii="Arial" w:eastAsia="Arial" w:hAnsi="Arial" w:cs="Arial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pagar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intérprete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Nosotros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</w:rPr>
        <w:t>conseguiremos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podrían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tardar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hasta 90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enviarle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cree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esperar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perjudicará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plazo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3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laborables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proveedor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al Plan que </w:t>
      </w:r>
      <w:proofErr w:type="spellStart"/>
      <w:r>
        <w:rPr>
          <w:rFonts w:ascii="Arial" w:eastAsia="Arial" w:hAnsi="Arial" w:cs="Arial"/>
          <w:sz w:val="24"/>
          <w:szCs w:val="24"/>
        </w:rPr>
        <w:t>escriba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escribirla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La carta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explicar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detalladamente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espera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hasta 90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que se </w:t>
      </w:r>
      <w:proofErr w:type="spellStart"/>
      <w:r>
        <w:rPr>
          <w:rFonts w:ascii="Arial" w:eastAsia="Arial" w:hAnsi="Arial" w:cs="Arial"/>
          <w:sz w:val="24"/>
          <w:szCs w:val="24"/>
        </w:rPr>
        <w:t>decida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perjudicará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gravemente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capacidad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alcanzar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mantener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recuperar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máxima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funcionalidad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 </w:t>
      </w:r>
      <w:proofErr w:type="spellStart"/>
      <w:r>
        <w:rPr>
          <w:rFonts w:ascii="Arial" w:eastAsia="Arial" w:hAnsi="Arial" w:cs="Arial"/>
          <w:sz w:val="24"/>
          <w:szCs w:val="24"/>
        </w:rPr>
        <w:t>continuación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solicite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acelerada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 y </w:t>
      </w:r>
      <w:proofErr w:type="spellStart"/>
      <w:r>
        <w:rPr>
          <w:rFonts w:ascii="Arial" w:eastAsia="Arial" w:hAnsi="Arial" w:cs="Arial"/>
          <w:sz w:val="24"/>
          <w:szCs w:val="24"/>
        </w:rPr>
        <w:t>proporcione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carta con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7491D" w:rsidRDefault="0017491D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7491D" w:rsidRDefault="009E4C63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Representante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autorizado</w:t>
      </w:r>
      <w:proofErr w:type="spellEnd"/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O </w:t>
      </w:r>
      <w:proofErr w:type="spellStart"/>
      <w:r>
        <w:rPr>
          <w:rFonts w:ascii="Arial" w:eastAsia="Arial" w:hAnsi="Arial" w:cs="Arial"/>
          <w:sz w:val="24"/>
          <w:szCs w:val="24"/>
        </w:rPr>
        <w:t>alguien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pariente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amigo, </w:t>
      </w:r>
      <w:proofErr w:type="spellStart"/>
      <w:r>
        <w:rPr>
          <w:rFonts w:ascii="Arial" w:eastAsia="Arial" w:hAnsi="Arial" w:cs="Arial"/>
          <w:sz w:val="24"/>
          <w:szCs w:val="24"/>
        </w:rPr>
        <w:t>defensor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proveedor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abogado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</w:t>
      </w:r>
      <w:proofErr w:type="spellStart"/>
      <w:r>
        <w:rPr>
          <w:rFonts w:ascii="Arial" w:eastAsia="Arial" w:hAnsi="Arial" w:cs="Arial"/>
          <w:sz w:val="24"/>
          <w:szCs w:val="24"/>
        </w:rPr>
        <w:t>quiere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otra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 </w:t>
      </w: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hable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entonces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decirle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oficina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Audiencia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autorizada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 se llama "</w:t>
      </w:r>
      <w:proofErr w:type="spellStart"/>
      <w:r>
        <w:rPr>
          <w:rFonts w:ascii="Arial" w:eastAsia="Arial" w:hAnsi="Arial" w:cs="Arial"/>
          <w:sz w:val="24"/>
          <w:szCs w:val="24"/>
        </w:rPr>
        <w:t>representante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autorizado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".  </w:t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17491D" w:rsidRDefault="009E4C63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AYUDA LEGAL</w:t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17491D" w:rsidRDefault="009E4C63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legal </w:t>
      </w:r>
      <w:proofErr w:type="spellStart"/>
      <w:r>
        <w:rPr>
          <w:rFonts w:ascii="Arial" w:eastAsia="Arial" w:hAnsi="Arial" w:cs="Arial"/>
          <w:sz w:val="24"/>
          <w:szCs w:val="24"/>
        </w:rPr>
        <w:t>gratuita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llamar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local de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legal de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condado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1-888-804-3536.</w:t>
      </w: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17491D" w:rsidRDefault="0017491D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174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93" w:rsidRDefault="009E4C63">
      <w:pPr>
        <w:spacing w:line="240" w:lineRule="auto"/>
        <w:ind w:left="0" w:hanging="2"/>
      </w:pPr>
      <w:r>
        <w:separator/>
      </w:r>
    </w:p>
  </w:endnote>
  <w:endnote w:type="continuationSeparator" w:id="0">
    <w:p w:rsidR="00931B93" w:rsidRDefault="009E4C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8A" w:rsidRDefault="00981F8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1D" w:rsidRDefault="009E4C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981F8A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17491D" w:rsidRDefault="001749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8A" w:rsidRDefault="00981F8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93" w:rsidRDefault="009E4C63">
      <w:pPr>
        <w:spacing w:line="240" w:lineRule="auto"/>
        <w:ind w:left="0" w:hanging="2"/>
      </w:pPr>
      <w:r>
        <w:separator/>
      </w:r>
    </w:p>
  </w:footnote>
  <w:footnote w:type="continuationSeparator" w:id="0">
    <w:p w:rsidR="00931B93" w:rsidRDefault="009E4C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8A" w:rsidRDefault="00981F8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8A" w:rsidRDefault="00981F8A" w:rsidP="00981F8A">
    <w:pPr>
      <w:pStyle w:val="Header"/>
      <w:ind w:left="0" w:hanging="2"/>
    </w:pPr>
  </w:p>
  <w:p w:rsidR="00981F8A" w:rsidRPr="00266D05" w:rsidRDefault="00981F8A" w:rsidP="00981F8A">
    <w:pPr>
      <w:tabs>
        <w:tab w:val="center" w:pos="4680"/>
        <w:tab w:val="right" w:pos="9360"/>
      </w:tabs>
      <w:spacing w:before="240"/>
      <w:ind w:left="0" w:hanging="2"/>
    </w:pPr>
    <w:r w:rsidRPr="00914EFD">
      <w:rPr>
        <w:noProof/>
      </w:rPr>
      <w:drawing>
        <wp:inline distT="0" distB="0" distL="0" distR="0">
          <wp:extent cx="2028825" cy="714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6D05"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4A52447E">
          <wp:extent cx="81915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66D05">
      <w:br/>
    </w:r>
  </w:p>
  <w:p w:rsidR="00981F8A" w:rsidRDefault="00981F8A" w:rsidP="00981F8A">
    <w:pPr>
      <w:tabs>
        <w:tab w:val="center" w:pos="4680"/>
        <w:tab w:val="right" w:pos="9360"/>
      </w:tabs>
      <w:ind w:left="0" w:hanging="2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12699</wp:posOffset>
              </wp:positionV>
              <wp:extent cx="64008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A3DA6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Hk0AEAAJADAAAOAAAAZHJzL2Uyb0RvYy54bWysU9tu2zAMfR+wfxD0vtjt1qAw4hRDgu6l&#10;2AJk/QBGlm2huoHU4uTvRymXttvbsAQQKJE61Dk8XjwcnBV7jWSCb+XNrJZCexU644dWPv98/HQv&#10;BSXwHdjgdSuPmuTD8uOHxRQbfRvGYDuNgkE8NVNs5ZhSbKqK1Kgd0CxE7TnZB3SQeItD1SFMjO5s&#10;dVvX82oK2EUMShPx6fqUlMuC3/dapR99TzoJ20p+WyorlnWX12q5gGZAiKNR52fAP7zCgfHc9Aq1&#10;hgTiF5q/oJxRGCj0aaaCq0LfG6ULB2ZzU//BZjtC1IULi0PxKhP9P1j1fb9BYbpWzqXw4HhE24Rg&#10;hjGJVfCeBQwo5lmnKVLD5Su/wcxUHfw2PgX1Qpyr3iXzhuKp7NCjy+VMVRyK7ser7vqQhOLD+Ze6&#10;vq95POqSq6C5XIxI6ZsOTuSgldb4LAk0sH+ilFtDcynJxz48GmvLWK0XE4N/vsvIwObqLSQOXWS6&#10;5AcpwA7sWpWwIFKwpsu3Mw7hsFtZFHtg53y9y/8sAnd7V5Zbr4HGU11JnTzlTGJjW+NaydT4d75t&#10;fUbXxZpnAq9y5WgXuuMGL5ry2EvTs0Wzr97uOX77IS1/AwAA//8DAFBLAwQUAAYACAAAACEAh6wH&#10;MdkAAAAFAQAADwAAAGRycy9kb3ducmV2LnhtbEyPT0vDQBDF74LfYRnBi9iNFUqJ2ZQiFKR4sRa8&#10;TrNjNpidXbPbJvrpnXrR0/x5w3u/qVaT79WJhtQFNnA3K0ARN8F23BrYv25ul6BSRrbYByYDX5Rg&#10;VV9eVFjaMPILnXa5VWLCqUQDLudYap0aRx7TLERi0d7D4DHLOLTaDjiKue/1vCgW2mPHkuAw0qOj&#10;5mN39AY+751/y98bft6uOeJT3C7GGzTm+mpaP4DKNOW/YzjjCzrUwnQIR7ZJ9QbkkWxgLuUsFsVS&#10;usPvQteV/k9f/wAAAP//AwBQSwECLQAUAAYACAAAACEAtoM4kv4AAADhAQAAEwAAAAAAAAAAAAAA&#10;AAAAAAAAW0NvbnRlbnRfVHlwZXNdLnhtbFBLAQItABQABgAIAAAAIQA4/SH/1gAAAJQBAAALAAAA&#10;AAAAAAAAAAAAAC8BAABfcmVscy8ucmVsc1BLAQItABQABgAIAAAAIQAziyHk0AEAAJADAAAOAAAA&#10;AAAAAAAAAAAAAC4CAABkcnMvZTJvRG9jLnhtbFBLAQItABQABgAIAAAAIQCHrAcx2QAAAAUBAAAP&#10;AAAAAAAAAAAAAAAAACoEAABkcnMvZG93bnJldi54bWxQSwUGAAAAAAQABADzAAAAMAUAAAAA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981F8A" w:rsidRDefault="00981F8A" w:rsidP="00981F8A">
    <w:pPr>
      <w:pStyle w:val="Header"/>
      <w:ind w:leftChars="0" w:left="0" w:firstLineChars="0" w:firstLine="0"/>
    </w:pPr>
  </w:p>
  <w:p w:rsidR="00981F8A" w:rsidRDefault="00981F8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8A" w:rsidRDefault="00981F8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224B"/>
    <w:multiLevelType w:val="multilevel"/>
    <w:tmpl w:val="C5AAA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1065A8"/>
    <w:multiLevelType w:val="multilevel"/>
    <w:tmpl w:val="5296D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0516FC"/>
    <w:multiLevelType w:val="multilevel"/>
    <w:tmpl w:val="027C9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D"/>
    <w:rsid w:val="0017491D"/>
    <w:rsid w:val="00931B93"/>
    <w:rsid w:val="00981F8A"/>
    <w:rsid w:val="009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2A846F"/>
  <w15:docId w15:val="{045C7B62-BC9D-44F0-8304-20451E0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pBdr>
        <w:top w:val="single" w:sz="18" w:space="1" w:color="auto"/>
      </w:pBdr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pPr>
      <w:keepNext/>
      <w:ind w:firstLine="72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erChar">
    <w:name w:val="Header Char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IzaKy9r54xy9C/yh8Tdifl1cQ==">AMUW2mW1bw1D0XkKLJEAl8ubJ7d5HWyQ4b4QmuwLq7AyBe0sAAi+4vOZcNfJDxQHipMw5c9MFAsUTqS/8WrTo0lKPNG+GeNMfsrPt2N3y582ZvahrKjATB4=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Williams, Kaile</cp:lastModifiedBy>
  <cp:revision>3</cp:revision>
  <dcterms:created xsi:type="dcterms:W3CDTF">2021-06-22T16:23:00Z</dcterms:created>
  <dcterms:modified xsi:type="dcterms:W3CDTF">2021-06-23T17:07:00Z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ender">
    <vt:lpwstr/>
  </property>
  <property fmtid="{D5CDD505-2E9C-101B-9397-08002B2CF9AE}" pid="3" name="TAGEthnicity">
    <vt:lpwstr/>
  </property>
  <property fmtid="{D5CDD505-2E9C-101B-9397-08002B2CF9AE}" pid="4" name="Abstract">
    <vt:lpwstr>9.NOABD_Your_Rights_Attachment</vt:lpwstr>
  </property>
  <property fmtid="{D5CDD505-2E9C-101B-9397-08002B2CF9AE}" pid="5" name="TAGBusPart">
    <vt:lpwstr/>
  </property>
  <property fmtid="{D5CDD505-2E9C-101B-9397-08002B2CF9AE}" pid="6" name="Topics">
    <vt:lpwstr/>
  </property>
  <property fmtid="{D5CDD505-2E9C-101B-9397-08002B2CF9AE}" pid="7" name="PublishingContactName">
    <vt:lpwstr>Autumn Boylan</vt:lpwstr>
  </property>
  <property fmtid="{D5CDD505-2E9C-101B-9397-08002B2CF9AE}" pid="8" name="Language">
    <vt:lpwstr>English</vt:lpwstr>
  </property>
  <property fmtid="{D5CDD505-2E9C-101B-9397-08002B2CF9AE}" pid="9" name="Organization">
    <vt:lpwstr>109</vt:lpwstr>
  </property>
  <property fmtid="{D5CDD505-2E9C-101B-9397-08002B2CF9AE}" pid="10" name="Reading Level">
    <vt:lpwstr/>
  </property>
  <property fmtid="{D5CDD505-2E9C-101B-9397-08002B2CF9AE}" pid="11" name="TAGAge">
    <vt:lpwstr/>
  </property>
  <property fmtid="{D5CDD505-2E9C-101B-9397-08002B2CF9AE}" pid="12" name="display_urn:schemas-microsoft-com:office:office#Editor">
    <vt:lpwstr>System Account</vt:lpwstr>
  </property>
  <property fmtid="{D5CDD505-2E9C-101B-9397-08002B2CF9AE}" pid="13" name="display_urn:schemas-microsoft-com:office:office#Author">
    <vt:lpwstr>John SS01. Trapper</vt:lpwstr>
  </property>
  <property fmtid="{D5CDD505-2E9C-101B-9397-08002B2CF9AE}" pid="14" name="_dlc_DocId">
    <vt:lpwstr>DHCSDOC-1363137784-1884</vt:lpwstr>
  </property>
  <property fmtid="{D5CDD505-2E9C-101B-9397-08002B2CF9AE}" pid="15" name="_dlc_DocIdItemGuid">
    <vt:lpwstr>1f38a5b3-a420-41c3-b134-37783f40837f</vt:lpwstr>
  </property>
  <property fmtid="{D5CDD505-2E9C-101B-9397-08002B2CF9AE}" pid="16" name="_dlc_DocIdUrl">
    <vt:lpwstr>http://dhcs2016prod:88/services/MH/_layouts/15/DocIdRedir.aspx?ID=DHCSDOC-1363137784-1884, DHCSDOC-1363137784-1884</vt:lpwstr>
  </property>
  <property fmtid="{D5CDD505-2E9C-101B-9397-08002B2CF9AE}" pid="17" name="Division">
    <vt:lpwstr>2;#Behavioral Health|c8fbd8dd-b314-4ac2-ae67-435cc4799084</vt:lpwstr>
  </property>
  <property fmtid="{D5CDD505-2E9C-101B-9397-08002B2CF9AE}" pid="18" name="o68eaf9243684232b2418c37bbb152dc">
    <vt:lpwstr>Behavioral Health|c8fbd8dd-b314-4ac2-ae67-435cc4799084</vt:lpwstr>
  </property>
  <property fmtid="{D5CDD505-2E9C-101B-9397-08002B2CF9AE}" pid="19" name="TaxCatchAll">
    <vt:lpwstr>2;#Behavioral Health|c8fbd8dd-b314-4ac2-ae67-435cc4799084</vt:lpwstr>
  </property>
  <property fmtid="{D5CDD505-2E9C-101B-9397-08002B2CF9AE}" pid="20" name="Publication Type">
    <vt:lpwstr/>
  </property>
</Properties>
</file>